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8B" w:rsidRPr="00BE11BF" w:rsidRDefault="00BE11BF" w:rsidP="008169D5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BE11BF">
        <w:rPr>
          <w:rFonts w:asciiTheme="majorHAnsi" w:hAnsiTheme="majorHAnsi"/>
          <w:b/>
          <w:sz w:val="28"/>
          <w:szCs w:val="28"/>
        </w:rPr>
        <w:t xml:space="preserve">EMENDA </w:t>
      </w:r>
      <w:r w:rsidR="008169D5" w:rsidRPr="00BE11BF">
        <w:rPr>
          <w:rFonts w:asciiTheme="majorHAnsi" w:hAnsiTheme="majorHAnsi"/>
          <w:b/>
          <w:sz w:val="28"/>
          <w:szCs w:val="28"/>
        </w:rPr>
        <w:t>Nº    - CCJ</w:t>
      </w:r>
    </w:p>
    <w:p w:rsidR="008169D5" w:rsidRPr="00BE11BF" w:rsidRDefault="008169D5" w:rsidP="008169D5">
      <w:pPr>
        <w:jc w:val="center"/>
        <w:rPr>
          <w:rFonts w:asciiTheme="majorHAnsi" w:hAnsiTheme="majorHAnsi"/>
          <w:b/>
        </w:rPr>
      </w:pPr>
    </w:p>
    <w:p w:rsidR="008169D5" w:rsidRPr="00BE11BF" w:rsidRDefault="008169D5" w:rsidP="008169D5">
      <w:pPr>
        <w:jc w:val="center"/>
        <w:rPr>
          <w:rFonts w:asciiTheme="majorHAnsi" w:hAnsiTheme="majorHAnsi"/>
          <w:b/>
        </w:rPr>
      </w:pPr>
      <w:r w:rsidRPr="00BE11BF">
        <w:rPr>
          <w:rFonts w:asciiTheme="majorHAnsi" w:hAnsiTheme="majorHAnsi"/>
          <w:b/>
        </w:rPr>
        <w:t>(PEC 62/2015)</w:t>
      </w:r>
    </w:p>
    <w:p w:rsidR="008169D5" w:rsidRPr="00BE11BF" w:rsidRDefault="008169D5" w:rsidP="008169D5">
      <w:pPr>
        <w:jc w:val="center"/>
        <w:rPr>
          <w:rFonts w:asciiTheme="majorHAnsi" w:hAnsiTheme="majorHAnsi"/>
          <w:b/>
        </w:rPr>
      </w:pPr>
    </w:p>
    <w:p w:rsidR="008169D5" w:rsidRPr="00BE11BF" w:rsidRDefault="008169D5" w:rsidP="008169D5">
      <w:pPr>
        <w:rPr>
          <w:rFonts w:asciiTheme="majorHAnsi" w:hAnsiTheme="majorHAnsi"/>
          <w:b/>
        </w:rPr>
      </w:pPr>
    </w:p>
    <w:p w:rsidR="008169D5" w:rsidRPr="00BE11BF" w:rsidRDefault="008169D5" w:rsidP="008169D5">
      <w:pPr>
        <w:rPr>
          <w:rFonts w:asciiTheme="majorHAnsi" w:hAnsiTheme="majorHAnsi"/>
        </w:rPr>
      </w:pPr>
      <w:r w:rsidRPr="00BE11BF">
        <w:rPr>
          <w:rFonts w:asciiTheme="majorHAnsi" w:hAnsiTheme="majorHAnsi"/>
        </w:rPr>
        <w:t>Dê-se ao inciso V do artigo 93 da Constituição Federal a seguinte redação:</w:t>
      </w:r>
    </w:p>
    <w:p w:rsidR="008169D5" w:rsidRPr="00BE11BF" w:rsidRDefault="008169D5" w:rsidP="008169D5">
      <w:pPr>
        <w:rPr>
          <w:rFonts w:asciiTheme="majorHAnsi" w:hAnsiTheme="majorHAnsi"/>
        </w:rPr>
      </w:pPr>
    </w:p>
    <w:p w:rsidR="008169D5" w:rsidRPr="00BE11BF" w:rsidRDefault="008169D5" w:rsidP="008169D5">
      <w:pPr>
        <w:rPr>
          <w:rFonts w:asciiTheme="majorHAnsi" w:hAnsiTheme="majorHAnsi"/>
        </w:rPr>
      </w:pPr>
      <w:r w:rsidRPr="00BE11BF">
        <w:rPr>
          <w:rFonts w:asciiTheme="majorHAnsi" w:hAnsiTheme="majorHAnsi"/>
        </w:rPr>
        <w:t>“Art 93. .......................................................................................................</w:t>
      </w:r>
      <w:r w:rsidR="00BE11BF">
        <w:rPr>
          <w:rFonts w:asciiTheme="majorHAnsi" w:hAnsiTheme="majorHAnsi"/>
        </w:rPr>
        <w:t>....................</w:t>
      </w:r>
    </w:p>
    <w:p w:rsidR="008169D5" w:rsidRPr="00BE11BF" w:rsidRDefault="008169D5" w:rsidP="008169D5">
      <w:pPr>
        <w:rPr>
          <w:rFonts w:asciiTheme="majorHAnsi" w:hAnsiTheme="majorHAnsi"/>
        </w:rPr>
      </w:pPr>
      <w:r w:rsidRPr="00BE11BF">
        <w:rPr>
          <w:rFonts w:asciiTheme="majorHAnsi" w:hAnsiTheme="majorHAnsi"/>
        </w:rPr>
        <w:t>........................................................................................................</w:t>
      </w:r>
      <w:r w:rsidR="00BE11BF">
        <w:rPr>
          <w:rFonts w:asciiTheme="majorHAnsi" w:hAnsiTheme="majorHAnsi"/>
        </w:rPr>
        <w:t>................................</w:t>
      </w:r>
    </w:p>
    <w:p w:rsidR="008169D5" w:rsidRPr="00BE11BF" w:rsidRDefault="008169D5" w:rsidP="008169D5">
      <w:pPr>
        <w:jc w:val="both"/>
        <w:rPr>
          <w:rFonts w:asciiTheme="majorHAnsi" w:hAnsiTheme="majorHAnsi"/>
        </w:rPr>
      </w:pPr>
      <w:r w:rsidRPr="00BE11BF">
        <w:rPr>
          <w:rFonts w:asciiTheme="majorHAnsi" w:hAnsiTheme="majorHAnsi"/>
        </w:rPr>
        <w:t>V – o subsídio dos Ministros dos Tribunais Superiores corresponderá a noventa e cinco por cento do subsidio mensal fixado em lei para os Ministros do Supremo Tribunal Federal, e os subsídios dos demais magistrados serão fixados e escalonados, mediante lei específica, em nível federal e estadual, conforme as respectivas categorias da estrutura judiciária nacional, não podendo a diferença entre uma e outra ser superior a dez por cento ou inferior a cinco por cento, nem exceder a noventa e cinco por cento do subsídio mensal dos Ministros dos Tribunais Superiores, observado os arts. 37, XI, e 39, § 4º, aplicando tais disposições aos membros do Ministério Público, da Defensoria Pública e da Advocacia-Geral da União.</w:t>
      </w:r>
    </w:p>
    <w:p w:rsidR="008169D5" w:rsidRPr="00BE11BF" w:rsidRDefault="008169D5" w:rsidP="008169D5">
      <w:pPr>
        <w:jc w:val="both"/>
        <w:rPr>
          <w:rFonts w:asciiTheme="majorHAnsi" w:hAnsiTheme="majorHAnsi"/>
        </w:rPr>
      </w:pPr>
      <w:r w:rsidRPr="00BE11BF">
        <w:rPr>
          <w:rFonts w:asciiTheme="majorHAnsi" w:hAnsiTheme="majorHAnsi"/>
        </w:rPr>
        <w:t>....................................................................................................................</w:t>
      </w:r>
      <w:r w:rsidR="00BE11BF">
        <w:rPr>
          <w:rFonts w:asciiTheme="majorHAnsi" w:hAnsiTheme="majorHAnsi"/>
        </w:rPr>
        <w:t>............</w:t>
      </w:r>
      <w:r w:rsidRPr="00BE11BF">
        <w:rPr>
          <w:rFonts w:asciiTheme="majorHAnsi" w:hAnsiTheme="majorHAnsi"/>
        </w:rPr>
        <w:t xml:space="preserve">”(NR) </w:t>
      </w:r>
    </w:p>
    <w:p w:rsidR="008169D5" w:rsidRPr="00BE11BF" w:rsidRDefault="008169D5" w:rsidP="008169D5">
      <w:pPr>
        <w:jc w:val="both"/>
        <w:rPr>
          <w:rFonts w:asciiTheme="majorHAnsi" w:hAnsiTheme="majorHAnsi"/>
        </w:rPr>
      </w:pPr>
    </w:p>
    <w:p w:rsidR="008169D5" w:rsidRPr="00BE11BF" w:rsidRDefault="008169D5" w:rsidP="008169D5">
      <w:pPr>
        <w:jc w:val="both"/>
        <w:rPr>
          <w:rFonts w:asciiTheme="majorHAnsi" w:hAnsiTheme="majorHAnsi"/>
        </w:rPr>
      </w:pPr>
    </w:p>
    <w:p w:rsidR="00DD55C2" w:rsidRPr="00BE11BF" w:rsidRDefault="00DD55C2" w:rsidP="00DD55C2">
      <w:pPr>
        <w:jc w:val="center"/>
        <w:rPr>
          <w:rFonts w:asciiTheme="majorHAnsi" w:hAnsiTheme="majorHAnsi"/>
          <w:b/>
        </w:rPr>
      </w:pPr>
      <w:r w:rsidRPr="00BE11BF">
        <w:rPr>
          <w:rFonts w:asciiTheme="majorHAnsi" w:hAnsiTheme="majorHAnsi"/>
          <w:b/>
        </w:rPr>
        <w:t>JUSTIFICAÇÃO</w:t>
      </w:r>
    </w:p>
    <w:p w:rsidR="008169D5" w:rsidRDefault="008169D5" w:rsidP="008169D5">
      <w:pPr>
        <w:jc w:val="both"/>
        <w:rPr>
          <w:rFonts w:asciiTheme="majorHAnsi" w:hAnsiTheme="majorHAnsi"/>
        </w:rPr>
      </w:pPr>
    </w:p>
    <w:p w:rsidR="00BE11BF" w:rsidRPr="00BE11BF" w:rsidRDefault="00BE11BF" w:rsidP="008169D5">
      <w:pPr>
        <w:jc w:val="both"/>
        <w:rPr>
          <w:rFonts w:asciiTheme="majorHAnsi" w:hAnsiTheme="majorHAnsi"/>
        </w:rPr>
      </w:pPr>
    </w:p>
    <w:p w:rsidR="008169D5" w:rsidRPr="00BE11BF" w:rsidRDefault="008169D5" w:rsidP="00DD55C2">
      <w:pPr>
        <w:jc w:val="both"/>
        <w:rPr>
          <w:rFonts w:asciiTheme="majorHAnsi" w:hAnsiTheme="majorHAnsi"/>
        </w:rPr>
      </w:pPr>
      <w:r w:rsidRPr="00BE11BF">
        <w:rPr>
          <w:rFonts w:asciiTheme="majorHAnsi" w:hAnsiTheme="majorHAnsi"/>
        </w:rPr>
        <w:t>A referida emenda visa conferir isonomia às carreiras integrantes d</w:t>
      </w:r>
      <w:r w:rsidR="00DD55C2" w:rsidRPr="00BE11BF">
        <w:rPr>
          <w:rFonts w:asciiTheme="majorHAnsi" w:hAnsiTheme="majorHAnsi"/>
        </w:rPr>
        <w:t xml:space="preserve">as Funções Essenciais à Justiça ao oferecer às carreiras da Advocacia Pública </w:t>
      </w:r>
      <w:r w:rsidR="00BE11BF" w:rsidRPr="00BE11BF">
        <w:rPr>
          <w:rFonts w:asciiTheme="majorHAnsi" w:hAnsiTheme="majorHAnsi"/>
        </w:rPr>
        <w:t xml:space="preserve">Federal </w:t>
      </w:r>
      <w:r w:rsidR="00DD55C2" w:rsidRPr="00BE11BF">
        <w:rPr>
          <w:rFonts w:asciiTheme="majorHAnsi" w:hAnsiTheme="majorHAnsi"/>
        </w:rPr>
        <w:t>o mesmo tratamento dispensado aos membros do Ministério Público e Defensoria Pública.</w:t>
      </w:r>
    </w:p>
    <w:p w:rsidR="008169D5" w:rsidRPr="00BE11BF" w:rsidRDefault="008169D5" w:rsidP="00DD55C2">
      <w:pPr>
        <w:jc w:val="both"/>
        <w:rPr>
          <w:rFonts w:asciiTheme="majorHAnsi" w:hAnsiTheme="majorHAnsi"/>
        </w:rPr>
      </w:pPr>
    </w:p>
    <w:p w:rsidR="00DD55C2" w:rsidRPr="00BE11BF" w:rsidRDefault="00DD55C2" w:rsidP="00DD55C2">
      <w:pPr>
        <w:jc w:val="both"/>
        <w:rPr>
          <w:rFonts w:asciiTheme="majorHAnsi" w:hAnsiTheme="majorHAnsi"/>
        </w:rPr>
      </w:pPr>
      <w:r w:rsidRPr="00BE11BF">
        <w:rPr>
          <w:rFonts w:asciiTheme="majorHAnsi" w:hAnsiTheme="majorHAnsi"/>
        </w:rPr>
        <w:t>A proposta faz justiça a tais carreiras por buscar reduzir o aprofundamento do fosso remuneratório já existente entre a Magistratura e as Funções Essenciais à Justiça, especialmente a advocacia pública. Embora, possua a mesma estatura constitucional que o Ministério Público e a Defensoria, a advocacia pública não dispõe das mesmas condições que as outras.</w:t>
      </w:r>
    </w:p>
    <w:p w:rsidR="00DD55C2" w:rsidRPr="00BE11BF" w:rsidRDefault="00DD55C2" w:rsidP="00DD55C2">
      <w:pPr>
        <w:jc w:val="both"/>
        <w:rPr>
          <w:rFonts w:asciiTheme="majorHAnsi" w:hAnsiTheme="majorHAnsi"/>
        </w:rPr>
      </w:pPr>
    </w:p>
    <w:p w:rsidR="00DD55C2" w:rsidRPr="00BE11BF" w:rsidRDefault="00DD55C2" w:rsidP="00DD55C2">
      <w:pPr>
        <w:jc w:val="both"/>
        <w:rPr>
          <w:rFonts w:asciiTheme="majorHAnsi" w:hAnsiTheme="majorHAnsi"/>
        </w:rPr>
      </w:pPr>
      <w:r w:rsidRPr="00BE11BF">
        <w:rPr>
          <w:rFonts w:asciiTheme="majorHAnsi" w:hAnsiTheme="majorHAnsi"/>
        </w:rPr>
        <w:t xml:space="preserve">Portanto, visando corrigir tal distorção, propomos a emenda em tela e </w:t>
      </w:r>
      <w:r w:rsidR="00BE11BF" w:rsidRPr="00BE11BF">
        <w:rPr>
          <w:rFonts w:asciiTheme="majorHAnsi" w:hAnsiTheme="majorHAnsi"/>
        </w:rPr>
        <w:t>contamos com o apoio dos nobres pares no sentido de sua aprovação.</w:t>
      </w:r>
    </w:p>
    <w:p w:rsidR="00BE11BF" w:rsidRPr="00BE11BF" w:rsidRDefault="00BE11BF" w:rsidP="00DD55C2">
      <w:pPr>
        <w:jc w:val="both"/>
        <w:rPr>
          <w:rFonts w:asciiTheme="majorHAnsi" w:hAnsiTheme="majorHAnsi"/>
        </w:rPr>
      </w:pPr>
    </w:p>
    <w:p w:rsidR="00BE11BF" w:rsidRPr="00BE11BF" w:rsidRDefault="00BE11BF" w:rsidP="00DD55C2">
      <w:pPr>
        <w:jc w:val="both"/>
        <w:rPr>
          <w:rFonts w:asciiTheme="majorHAnsi" w:hAnsiTheme="majorHAnsi"/>
        </w:rPr>
      </w:pPr>
    </w:p>
    <w:p w:rsidR="00BE11BF" w:rsidRPr="00BE11BF" w:rsidRDefault="00BE11BF" w:rsidP="00BE11BF">
      <w:pPr>
        <w:ind w:left="720" w:firstLine="720"/>
        <w:jc w:val="both"/>
        <w:rPr>
          <w:rFonts w:asciiTheme="majorHAnsi" w:hAnsiTheme="majorHAnsi"/>
        </w:rPr>
      </w:pPr>
      <w:r w:rsidRPr="00BE11BF">
        <w:rPr>
          <w:rFonts w:asciiTheme="majorHAnsi" w:hAnsiTheme="majorHAnsi"/>
        </w:rPr>
        <w:t>Sala das sessões,</w:t>
      </w:r>
    </w:p>
    <w:p w:rsidR="00BE11BF" w:rsidRPr="00BE11BF" w:rsidRDefault="00BE11BF" w:rsidP="00DD55C2">
      <w:pPr>
        <w:jc w:val="both"/>
        <w:rPr>
          <w:rFonts w:asciiTheme="majorHAnsi" w:hAnsiTheme="majorHAnsi"/>
        </w:rPr>
      </w:pPr>
    </w:p>
    <w:p w:rsidR="00BE11BF" w:rsidRPr="00BE11BF" w:rsidRDefault="00BE11BF" w:rsidP="00BE11BF">
      <w:pPr>
        <w:jc w:val="center"/>
        <w:rPr>
          <w:rFonts w:asciiTheme="majorHAnsi" w:hAnsiTheme="majorHAnsi"/>
          <w:b/>
        </w:rPr>
      </w:pPr>
      <w:r w:rsidRPr="00BE11BF">
        <w:rPr>
          <w:rFonts w:asciiTheme="majorHAnsi" w:hAnsiTheme="majorHAnsi"/>
          <w:b/>
        </w:rPr>
        <w:t>Senador</w:t>
      </w:r>
    </w:p>
    <w:p w:rsidR="008169D5" w:rsidRPr="00BE11BF" w:rsidRDefault="008169D5" w:rsidP="00DD55C2">
      <w:pPr>
        <w:jc w:val="both"/>
        <w:rPr>
          <w:rFonts w:asciiTheme="majorHAnsi" w:hAnsiTheme="majorHAnsi"/>
        </w:rPr>
      </w:pPr>
    </w:p>
    <w:sectPr w:rsidR="008169D5" w:rsidRPr="00BE11BF" w:rsidSect="00187E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8169D5"/>
    <w:rsid w:val="00187E3E"/>
    <w:rsid w:val="004B3B8B"/>
    <w:rsid w:val="00534930"/>
    <w:rsid w:val="008169D5"/>
    <w:rsid w:val="00967F6A"/>
    <w:rsid w:val="00BE11BF"/>
    <w:rsid w:val="00C54C6E"/>
    <w:rsid w:val="00DD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Augusto de Queiroz</dc:creator>
  <cp:lastModifiedBy>Rejane</cp:lastModifiedBy>
  <cp:revision>2</cp:revision>
  <dcterms:created xsi:type="dcterms:W3CDTF">2016-11-29T12:11:00Z</dcterms:created>
  <dcterms:modified xsi:type="dcterms:W3CDTF">2016-11-29T12:11:00Z</dcterms:modified>
</cp:coreProperties>
</file>